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FE" w:rsidRPr="008B31FE" w:rsidRDefault="008B31FE" w:rsidP="008B31FE">
      <w:pPr>
        <w:jc w:val="center"/>
        <w:rPr>
          <w:b/>
          <w:sz w:val="24"/>
        </w:rPr>
      </w:pPr>
      <w:r w:rsidRPr="008B31FE">
        <w:rPr>
          <w:b/>
          <w:sz w:val="24"/>
        </w:rPr>
        <w:t>Fiziksel Hareketsizliğin Halk Sağlığı Sistemlerine Maliyeti</w:t>
      </w:r>
    </w:p>
    <w:p w:rsidR="008B31FE" w:rsidRDefault="008B31FE" w:rsidP="00636DE2"/>
    <w:p w:rsidR="00636DE2" w:rsidRPr="008B31FE" w:rsidRDefault="00636DE2" w:rsidP="00636DE2">
      <w:pPr>
        <w:rPr>
          <w:b/>
        </w:rPr>
      </w:pPr>
      <w:r w:rsidRPr="008B31FE">
        <w:rPr>
          <w:b/>
        </w:rPr>
        <w:t>Arka plan</w:t>
      </w:r>
    </w:p>
    <w:p w:rsidR="00C24FEC" w:rsidRDefault="00636DE2" w:rsidP="00636DE2">
      <w:pPr>
        <w:jc w:val="both"/>
      </w:pPr>
      <w:r>
        <w:t>Fiziksel hareketsizlik, bulaşıcı olmayan hastalıklar (</w:t>
      </w:r>
      <w:proofErr w:type="spellStart"/>
      <w:r>
        <w:t>BOH'lar</w:t>
      </w:r>
      <w:proofErr w:type="spellEnd"/>
      <w:r>
        <w:t xml:space="preserve">) ve ruh sağlığı durumları için önemli </w:t>
      </w:r>
      <w:r w:rsidR="008B31FE">
        <w:t xml:space="preserve">ve </w:t>
      </w:r>
      <w:r>
        <w:t xml:space="preserve">değiştirilebilir </w:t>
      </w:r>
      <w:r w:rsidR="008B31FE">
        <w:t xml:space="preserve">bir </w:t>
      </w:r>
      <w:r>
        <w:t>risk faktörüdür. Fiziksel hareketsizlik nedeniyle bu hastalıklarla ilişkili halk sağlığı maliyetlerini tahmin etmeyi a</w:t>
      </w:r>
      <w:r>
        <w:t>maçlayan bu çalışma; p</w:t>
      </w:r>
      <w:r>
        <w:t xml:space="preserve">olitika yapıcıların daha fazla insanın daha aktif olmasını teşvik etmek </w:t>
      </w:r>
      <w:r>
        <w:t>için politika eylemlerine</w:t>
      </w:r>
      <w:r>
        <w:t xml:space="preserve"> öncelik vermelerine yardımcı olacaktır.</w:t>
      </w:r>
      <w:r w:rsidR="004A5324">
        <w:t xml:space="preserve"> Ayrıca bu</w:t>
      </w:r>
      <w:r w:rsidR="004A5324" w:rsidRPr="004A5324">
        <w:t xml:space="preserve"> çalışma, ülkelerin değiştirilebilir risk faktörünü azaltan müdahalelere yapılacak yatırımlara öncelik vermeleri için acil eylem çağrısında </w:t>
      </w:r>
      <w:r w:rsidR="004A5324">
        <w:t xml:space="preserve">bulunmaktadır. </w:t>
      </w:r>
    </w:p>
    <w:p w:rsidR="00636DE2" w:rsidRDefault="00636DE2" w:rsidP="00636DE2">
      <w:pPr>
        <w:jc w:val="both"/>
      </w:pPr>
      <w:r w:rsidRPr="008B31FE">
        <w:rPr>
          <w:b/>
        </w:rPr>
        <w:t xml:space="preserve">Çalışmaya </w:t>
      </w:r>
      <w:proofErr w:type="gramStart"/>
      <w:r w:rsidRPr="008B31FE">
        <w:rPr>
          <w:b/>
        </w:rPr>
        <w:t>Dahil</w:t>
      </w:r>
      <w:proofErr w:type="gramEnd"/>
      <w:r w:rsidRPr="008B31FE">
        <w:rPr>
          <w:b/>
        </w:rPr>
        <w:t xml:space="preserve"> Edilen Hastalıklar:</w:t>
      </w:r>
      <w:r>
        <w:t xml:space="preserve"> En </w:t>
      </w:r>
      <w:r w:rsidRPr="00636DE2">
        <w:t xml:space="preserve">az 18 yaşındaki yetişkinlerde koroner kalp hastalığı, inme, tip 2 diyabet, hipertansiyon, kanser (meme, kolon, mesane, </w:t>
      </w:r>
      <w:proofErr w:type="spellStart"/>
      <w:r w:rsidRPr="00636DE2">
        <w:t>endometriyal</w:t>
      </w:r>
      <w:proofErr w:type="spellEnd"/>
      <w:r w:rsidRPr="00636DE2">
        <w:t xml:space="preserve">, </w:t>
      </w:r>
      <w:proofErr w:type="spellStart"/>
      <w:r w:rsidRPr="00636DE2">
        <w:t>özofagus</w:t>
      </w:r>
      <w:proofErr w:type="spellEnd"/>
      <w:r w:rsidRPr="00636DE2">
        <w:t xml:space="preserve">, mide </w:t>
      </w:r>
      <w:r>
        <w:t xml:space="preserve">ve böbrek), </w:t>
      </w:r>
      <w:proofErr w:type="spellStart"/>
      <w:r>
        <w:t>demans</w:t>
      </w:r>
      <w:proofErr w:type="spellEnd"/>
      <w:r>
        <w:t xml:space="preserve"> ve depresyon</w:t>
      </w:r>
      <w:r w:rsidR="008B31FE">
        <w:t xml:space="preserve">dur (toplam 7 hastalık). </w:t>
      </w:r>
      <w:r>
        <w:t xml:space="preserve">Bu kapsamda </w:t>
      </w:r>
      <w:r w:rsidRPr="00636DE2">
        <w:t>194 ülke için mevcut olan</w:t>
      </w:r>
      <w:r>
        <w:t xml:space="preserve"> en son sağlık ve ekonomi verileri kullanılmıştır. </w:t>
      </w:r>
    </w:p>
    <w:p w:rsidR="00195EF7" w:rsidRPr="008B31FE" w:rsidRDefault="00195EF7" w:rsidP="00636DE2">
      <w:pPr>
        <w:jc w:val="both"/>
        <w:rPr>
          <w:b/>
        </w:rPr>
      </w:pPr>
      <w:r w:rsidRPr="008B31FE">
        <w:rPr>
          <w:b/>
        </w:rPr>
        <w:t>Bulgular</w:t>
      </w:r>
    </w:p>
    <w:p w:rsidR="00195EF7" w:rsidRDefault="00195EF7" w:rsidP="00195EF7">
      <w:pPr>
        <w:jc w:val="both"/>
      </w:pPr>
      <w:r>
        <w:t xml:space="preserve">Fiziksel hareketsizliğin yaygınlığı değişmezse, </w:t>
      </w:r>
      <w:r w:rsidRPr="008B31FE">
        <w:rPr>
          <w:b/>
          <w:u w:val="single"/>
        </w:rPr>
        <w:t>2030 yılına kadar dünya çapında 99.2 milyon yeni önlenebilir BOH vakası</w:t>
      </w:r>
      <w:r>
        <w:t xml:space="preserve"> meydana gelecek</w:t>
      </w:r>
      <w:r>
        <w:t>tir</w:t>
      </w:r>
      <w:r>
        <w:t xml:space="preserve"> ve</w:t>
      </w:r>
      <w:r>
        <w:t xml:space="preserve"> bunun</w:t>
      </w:r>
      <w:r>
        <w:t xml:space="preserve"> doğrudan </w:t>
      </w:r>
      <w:r w:rsidRPr="008B31FE">
        <w:rPr>
          <w:b/>
          <w:u w:val="single"/>
        </w:rPr>
        <w:t>sağl</w:t>
      </w:r>
      <w:r w:rsidRPr="008B31FE">
        <w:rPr>
          <w:b/>
          <w:u w:val="single"/>
        </w:rPr>
        <w:t>ık hizmeti maliyeti 520 milyar</w:t>
      </w:r>
      <w:r>
        <w:t xml:space="preserve"> dolardır. Bununla beraber f</w:t>
      </w:r>
      <w:r>
        <w:t xml:space="preserve">iziksel hareketsizlik üzerindeki eylemsizliğin küresel maliyeti </w:t>
      </w:r>
      <w:r w:rsidRPr="008B31FE">
        <w:rPr>
          <w:b/>
          <w:u w:val="single"/>
        </w:rPr>
        <w:t>yılda yaklaşık 47.6 milyar dolara</w:t>
      </w:r>
      <w:r>
        <w:t xml:space="preserve"> ulaşacaktır.</w:t>
      </w:r>
    </w:p>
    <w:p w:rsidR="00195EF7" w:rsidRDefault="00195EF7" w:rsidP="00195EF7">
      <w:pPr>
        <w:jc w:val="both"/>
      </w:pPr>
      <w:r>
        <w:t>Yeni BOH vakalarının %74'ü düşük ve orta</w:t>
      </w:r>
      <w:r w:rsidRPr="00195EF7">
        <w:t xml:space="preserve"> </w:t>
      </w:r>
      <w:r>
        <w:t>gelirli ülkelerde meydana gelmesine rağmen, yüksek gelirli ülkeler ekonomik maliyetlerin daha büyük bir bölümünü (%63) üstlenecektir.</w:t>
      </w:r>
    </w:p>
    <w:p w:rsidR="00195EF7" w:rsidRDefault="00195EF7" w:rsidP="00195EF7">
      <w:pPr>
        <w:jc w:val="both"/>
      </w:pPr>
      <w:r>
        <w:t xml:space="preserve">Hastalıkların maliyet oranlarına örnek vermek gerekirse; </w:t>
      </w:r>
      <w:r>
        <w:t xml:space="preserve">bunama önlenebilir </w:t>
      </w:r>
      <w:proofErr w:type="spellStart"/>
      <w:r>
        <w:t>BOH'ların</w:t>
      </w:r>
      <w:proofErr w:type="spellEnd"/>
      <w:r>
        <w:t xml:space="preserve"> yalnızca %3'ünü oluşturmasına rağmen, hastalık tüm maliye</w:t>
      </w:r>
      <w:r>
        <w:t>tlerin %22'sine tekabül etmektedir. T</w:t>
      </w:r>
      <w:r>
        <w:t>ip 2 diyabet önlenebilir yeni vakaların %2'sini</w:t>
      </w:r>
      <w:r>
        <w:t xml:space="preserve">, ancak tüm maliyetlerin %9'unu ve kanserler </w:t>
      </w:r>
      <w:r>
        <w:t xml:space="preserve">önlenebilir vakaların %1'ini, ancak tüm maliyetlerin %15'ini </w:t>
      </w:r>
      <w:r>
        <w:t xml:space="preserve">oluşturmaktadır. </w:t>
      </w:r>
    </w:p>
    <w:p w:rsidR="00195EF7" w:rsidRPr="008B31FE" w:rsidRDefault="00195EF7" w:rsidP="00195EF7">
      <w:pPr>
        <w:jc w:val="both"/>
        <w:rPr>
          <w:b/>
        </w:rPr>
      </w:pPr>
      <w:r w:rsidRPr="008B31FE">
        <w:rPr>
          <w:b/>
        </w:rPr>
        <w:t>Giriş</w:t>
      </w:r>
    </w:p>
    <w:p w:rsidR="00195EF7" w:rsidRDefault="00195EF7" w:rsidP="00195EF7">
      <w:pPr>
        <w:jc w:val="both"/>
      </w:pPr>
      <w:proofErr w:type="gramStart"/>
      <w:r w:rsidRPr="00195EF7">
        <w:t xml:space="preserve">Çoğu ülke, küresel olarak ölüm ve sağlık sorunlarının önde gelen nedeni olan bulaşıcı olmayan hastalıklardan (BOH) kaynaklanan erken ölümleri üçte bir oranında azaltmak için 2030 BM </w:t>
      </w:r>
      <w:r w:rsidR="001E6A4E">
        <w:t xml:space="preserve">Sürdürülebilir Kalkınma Hedefi </w:t>
      </w:r>
      <w:r w:rsidRPr="00195EF7">
        <w:t xml:space="preserve">3.4'e </w:t>
      </w:r>
      <w:r w:rsidR="00A90755">
        <w:t>(</w:t>
      </w:r>
      <w:r w:rsidR="00A90755" w:rsidRPr="001E6A4E">
        <w:rPr>
          <w:u w:val="single"/>
        </w:rPr>
        <w:t xml:space="preserve">SKH3: </w:t>
      </w:r>
      <w:r w:rsidR="00A90755" w:rsidRPr="001E6A4E">
        <w:rPr>
          <w:u w:val="single"/>
        </w:rPr>
        <w:t>SKA 3: Sağlıklı ve kaliteli yaşamı her yaşta güvence altına almak</w:t>
      </w:r>
      <w:r w:rsidR="00A90755" w:rsidRPr="001E6A4E">
        <w:rPr>
          <w:u w:val="single"/>
        </w:rPr>
        <w:t xml:space="preserve">, SKH 3.4: </w:t>
      </w:r>
      <w:r w:rsidR="00A90755" w:rsidRPr="001E6A4E">
        <w:rPr>
          <w:u w:val="single"/>
        </w:rPr>
        <w:t>2030 yılına kadar, koruma ve tedavi yoluyla bulaşıcı olmayan hastalıklardan kaynaklanan erken ölümleri üçte bir oranında azaltılmak ve akıl sağlığı ile esenliği desteklemek</w:t>
      </w:r>
      <w:r w:rsidR="00A90755">
        <w:t xml:space="preserve">)  </w:t>
      </w:r>
      <w:r w:rsidRPr="00195EF7">
        <w:t>yönelik taahhütlerini yerine getirememektedir.</w:t>
      </w:r>
      <w:r w:rsidR="00A90755">
        <w:t xml:space="preserve"> </w:t>
      </w:r>
      <w:proofErr w:type="gramEnd"/>
    </w:p>
    <w:p w:rsidR="00A90755" w:rsidRDefault="00A90755" w:rsidP="00195EF7">
      <w:pPr>
        <w:jc w:val="both"/>
      </w:pPr>
      <w:r w:rsidRPr="00A90755">
        <w:t>Tütün kullanımı, alkolün zararlı kullanımı, sağlıksız beslenme ve fiziksel hareketsizlik gibi değiştirilebilir risk faktörlerinin yaygınlığının azaltılması, bulaşıcı olmayan hastalıkların ve ruh sağlığı sorunlarının yükünü azaltmak için uygun maliyetli bir stratejidir.</w:t>
      </w:r>
      <w:r>
        <w:t xml:space="preserve"> Bu strateji özellikle</w:t>
      </w:r>
      <w:r w:rsidRPr="00A90755">
        <w:t xml:space="preserve"> kalp ve dam</w:t>
      </w:r>
      <w:r>
        <w:t>ar hastalıklarına bağlı ölümleri azaltmak için önemlidir. Risk faktörlerini azaltmak,</w:t>
      </w:r>
      <w:r w:rsidRPr="00A90755">
        <w:t xml:space="preserve"> </w:t>
      </w:r>
      <w:proofErr w:type="spellStart"/>
      <w:r w:rsidRPr="00A90755">
        <w:t>BOH'ları</w:t>
      </w:r>
      <w:proofErr w:type="spellEnd"/>
      <w:r w:rsidRPr="00A90755">
        <w:t xml:space="preserve"> yönetmek </w:t>
      </w:r>
      <w:r>
        <w:t xml:space="preserve">ve </w:t>
      </w:r>
      <w:r w:rsidRPr="00A90755">
        <w:t xml:space="preserve">etkili müdahalelerin ölçeğini genişletmek için yatırılan </w:t>
      </w:r>
      <w:r w:rsidRPr="001E6A4E">
        <w:rPr>
          <w:b/>
          <w:u w:val="single"/>
        </w:rPr>
        <w:t>her 1 dolar,</w:t>
      </w:r>
      <w:r w:rsidRPr="00A90755">
        <w:t xml:space="preserve"> tüm erken ölümlerin neredeyse %85'inin olduğu düşük gelirli </w:t>
      </w:r>
      <w:r>
        <w:t xml:space="preserve">ve orta gelirli ülkelerde </w:t>
      </w:r>
      <w:r w:rsidR="001E6A4E" w:rsidRPr="001E6A4E">
        <w:rPr>
          <w:b/>
          <w:u w:val="single"/>
        </w:rPr>
        <w:t>7</w:t>
      </w:r>
      <w:r w:rsidRPr="001E6A4E">
        <w:rPr>
          <w:b/>
          <w:u w:val="single"/>
        </w:rPr>
        <w:t xml:space="preserve"> dolarına kadar getiri</w:t>
      </w:r>
      <w:r w:rsidRPr="00A90755">
        <w:t xml:space="preserve"> sağlayabilir.</w:t>
      </w:r>
      <w:r>
        <w:t xml:space="preserve"> </w:t>
      </w:r>
    </w:p>
    <w:p w:rsidR="00A90755" w:rsidRDefault="00A90755" w:rsidP="00195EF7">
      <w:pPr>
        <w:jc w:val="both"/>
      </w:pPr>
      <w:r w:rsidRPr="00A90755">
        <w:t xml:space="preserve">Yalnızca beş sağlık sonucuna (koroner kalp hastalığı, inme, tip 2 diyabet, meme kanseri ve kolon kanseri) dayalı olarak, sağlık hizmetleri sistemlerine fiziksel hareketsizliğin küresel maliyetinin 53.8 milyar </w:t>
      </w:r>
      <w:r>
        <w:t>dolar</w:t>
      </w:r>
      <w:r w:rsidRPr="00A90755">
        <w:t xml:space="preserve"> (2013) olduğu tahmin edilmiştir. Bunun %58'i kamu</w:t>
      </w:r>
      <w:r>
        <w:t xml:space="preserve"> sektörü tarafından ödenmiştir. </w:t>
      </w:r>
    </w:p>
    <w:p w:rsidR="00A90755" w:rsidRDefault="00A90755" w:rsidP="00195EF7">
      <w:pPr>
        <w:jc w:val="both"/>
      </w:pPr>
      <w:r>
        <w:lastRenderedPageBreak/>
        <w:t>Bu nedenle, DSÖ nüfusun</w:t>
      </w:r>
      <w:r w:rsidRPr="00A90755">
        <w:t xml:space="preserve"> fiziksel aktivite düzeylerini artırmaya yönelik ul</w:t>
      </w:r>
      <w:r>
        <w:t>usal çabalara rehberlik etmek adına</w:t>
      </w:r>
      <w:r w:rsidRPr="00A90755">
        <w:t xml:space="preserve"> DSÖ </w:t>
      </w:r>
      <w:hyperlink r:id="rId4" w:history="1">
        <w:r w:rsidRPr="00A90755">
          <w:rPr>
            <w:rStyle w:val="Kpr"/>
          </w:rPr>
          <w:t>Fiziksel Aktivite Küresel Eylem Planı</w:t>
        </w:r>
      </w:hyperlink>
      <w:r w:rsidRPr="00A90755">
        <w:t xml:space="preserve"> 2018-</w:t>
      </w:r>
      <w:r>
        <w:t>20</w:t>
      </w:r>
      <w:r w:rsidRPr="00A90755">
        <w:t>30'da ana hatlarıyla belirtilen 20 kanıta dayalı politika tavsiyesi b</w:t>
      </w:r>
      <w:r>
        <w:t xml:space="preserve">elirlemiştir. </w:t>
      </w:r>
      <w:r w:rsidRPr="00A90755">
        <w:t>Ancak fiziksel hareketsizlik seviyelerinin azaltılmasına yönelik küresel ilerleme yavaş olmuştur.</w:t>
      </w:r>
      <w:r>
        <w:t xml:space="preserve"> Bu nedenle </w:t>
      </w:r>
      <w:r w:rsidRPr="00A90755">
        <w:t>çok sektörlü eylemi oluşturmak için daha güçlü bir savunuculuğa ihtiyaç vardır.</w:t>
      </w:r>
    </w:p>
    <w:p w:rsidR="001A4140" w:rsidRPr="008B31FE" w:rsidRDefault="001A4140" w:rsidP="00195EF7">
      <w:pPr>
        <w:jc w:val="both"/>
        <w:rPr>
          <w:b/>
        </w:rPr>
      </w:pPr>
      <w:r w:rsidRPr="008B31FE">
        <w:rPr>
          <w:b/>
        </w:rPr>
        <w:t>Çalışma Tasarımı</w:t>
      </w:r>
      <w:r w:rsidR="001E6A4E">
        <w:rPr>
          <w:b/>
        </w:rPr>
        <w:t xml:space="preserve"> (Ek Bilgi)</w:t>
      </w:r>
    </w:p>
    <w:p w:rsidR="001A4140" w:rsidRDefault="001A4140" w:rsidP="00195EF7">
      <w:pPr>
        <w:jc w:val="both"/>
      </w:pPr>
      <w:r w:rsidRPr="001A4140">
        <w:t>Fiziksel hareketsizliğin ekonomik maliyetlerine ilişkin tahminler, ülke, DSÖ bölgesi ve Dünya Bankası gelir düzey</w:t>
      </w:r>
      <w:r>
        <w:t>i sınıflandırmasına göre sunulmuştur</w:t>
      </w:r>
      <w:r w:rsidRPr="001A4140">
        <w:t>.</w:t>
      </w:r>
      <w:r>
        <w:t xml:space="preserve"> Bu çalışmada </w:t>
      </w:r>
      <w:r w:rsidRPr="001A4140">
        <w:t>18 yaş ve üstü yetişkinler için cinsiyete göre DSÖ'nün fiziksel hareketsizlik yaygınlığı için en son küresel karşılaştırılabil</w:t>
      </w:r>
      <w:r>
        <w:t>ir ulusal tahminler kullanılmıştır. F</w:t>
      </w:r>
      <w:r w:rsidRPr="001A4140">
        <w:t xml:space="preserve">iziksel hareketsizlik, DSÖ fiziksel aktivite önerilerini </w:t>
      </w:r>
      <w:r>
        <w:t>(</w:t>
      </w:r>
      <w:r w:rsidRPr="001A4140">
        <w:t>yetişkinler için en az 150 dakika orta yoğunlukta aerobik fiziksel aktivite veya en az 75 dakika şiddetli yoğunlukta aerobik fiziksel aktivite veya eşdeğer bir orta yoğunluk ve şiddet</w:t>
      </w:r>
      <w:r>
        <w:t xml:space="preserve">li- haftalık yoğunluk etkinliği) </w:t>
      </w:r>
      <w:r w:rsidRPr="001A4140">
        <w:t>karşılamamak</w:t>
      </w:r>
      <w:r>
        <w:t xml:space="preserve"> olarak tanımlanmıştır.</w:t>
      </w:r>
      <w:r w:rsidRPr="001A4140">
        <w:t xml:space="preserve"> Hastalığa göre en son olay </w:t>
      </w:r>
      <w:r>
        <w:t>vaka sayısını temel olarak alınmış</w:t>
      </w:r>
      <w:r w:rsidRPr="001A4140">
        <w:t xml:space="preserve"> (referans yılı olarak 2020'yi </w:t>
      </w:r>
      <w:r>
        <w:t>kullanılmıştır</w:t>
      </w:r>
      <w:r w:rsidRPr="001A4140">
        <w:t xml:space="preserve">) ve 2020'den 2030'a kadar her yıl için </w:t>
      </w:r>
      <w:r>
        <w:t xml:space="preserve">yeni vaka sayısını tahmin edilmiştir. </w:t>
      </w:r>
      <w:r w:rsidRPr="001A4140">
        <w:t>Her hastalık için, fiziksel hareketsizliğe atfedilen yeni hastalık vakalarının tahmini toplam sayısını hastalık başına tahmini ortalama yıllık maliyetle çarparak ülke başına sağlık sistemine toplam yıl</w:t>
      </w:r>
      <w:r>
        <w:t xml:space="preserve">lık doğrudan maliyeti hesaplanmıştır. </w:t>
      </w:r>
    </w:p>
    <w:p w:rsidR="001A4140" w:rsidRPr="008B31FE" w:rsidRDefault="001A4140" w:rsidP="00195EF7">
      <w:pPr>
        <w:jc w:val="both"/>
        <w:rPr>
          <w:b/>
        </w:rPr>
      </w:pPr>
      <w:r w:rsidRPr="008B31FE">
        <w:rPr>
          <w:b/>
        </w:rPr>
        <w:t>Sonuçlar</w:t>
      </w:r>
    </w:p>
    <w:p w:rsidR="001A4140" w:rsidRDefault="001A4140" w:rsidP="00195EF7">
      <w:pPr>
        <w:jc w:val="both"/>
      </w:pPr>
      <w:r w:rsidRPr="001A4140">
        <w:t>Fiziksel hareketsizliğin mevcut yaygınlığı değişmezse, 2020'den 2030'a kadar dünya çapında 499.2 milyon yeni önlenebilir BOH vakası ve ruh sağ</w:t>
      </w:r>
      <w:r>
        <w:t>lığı</w:t>
      </w:r>
      <w:r w:rsidR="001E6A4E">
        <w:t xml:space="preserve"> hastalığının</w:t>
      </w:r>
      <w:r>
        <w:t xml:space="preserve"> ortaya çıkacağı</w:t>
      </w:r>
      <w:r w:rsidRPr="001A4140">
        <w:t xml:space="preserve"> tahmin </w:t>
      </w:r>
      <w:r>
        <w:t>edilmektedir.</w:t>
      </w:r>
      <w:r w:rsidRPr="001A4140">
        <w:t xml:space="preserve"> Bu yeni vakaların 234.6 milyonu (%47) hipertansiyon ve 215.7 milyonu (%43) depresyon ve </w:t>
      </w:r>
      <w:proofErr w:type="spellStart"/>
      <w:r w:rsidRPr="001A4140">
        <w:t>anksiyete</w:t>
      </w:r>
      <w:proofErr w:type="spellEnd"/>
      <w:r w:rsidRPr="001A4140">
        <w:t xml:space="preserve"> nedeniyle olacaktır</w:t>
      </w:r>
      <w:r w:rsidR="005371F0">
        <w:t xml:space="preserve"> (Şekil 1.)</w:t>
      </w:r>
    </w:p>
    <w:p w:rsidR="001A4140" w:rsidRPr="005371F0" w:rsidRDefault="005371F0" w:rsidP="005371F0">
      <w:pPr>
        <w:jc w:val="both"/>
        <w:rPr>
          <w:b/>
        </w:rPr>
      </w:pPr>
      <w:r>
        <w:rPr>
          <w:b/>
        </w:rPr>
        <w:t xml:space="preserve">Şekil 1. </w:t>
      </w:r>
      <w:r w:rsidRPr="005371F0">
        <w:rPr>
          <w:b/>
        </w:rPr>
        <w:t>Fiziksel Hareketsizliğe Atfedilen Yeni Bulaşıc</w:t>
      </w:r>
      <w:r>
        <w:rPr>
          <w:b/>
        </w:rPr>
        <w:t>ı Olmayan Hastalık Vakalarının v</w:t>
      </w:r>
      <w:r w:rsidRPr="005371F0">
        <w:rPr>
          <w:b/>
        </w:rPr>
        <w:t>e Ruh Sağlığı Duru</w:t>
      </w:r>
      <w:r>
        <w:rPr>
          <w:b/>
        </w:rPr>
        <w:t>mlarının Küresel Toplam Sayısı v</w:t>
      </w:r>
      <w:r w:rsidRPr="005371F0">
        <w:rPr>
          <w:b/>
        </w:rPr>
        <w:t>e Oranı, 2020–30</w:t>
      </w:r>
    </w:p>
    <w:p w:rsidR="001A4140" w:rsidRDefault="001E6A4E" w:rsidP="00195EF7">
      <w:pPr>
        <w:jc w:val="both"/>
      </w:pPr>
      <w:r>
        <w:rPr>
          <w:noProof/>
          <w:lang w:eastAsia="tr-TR"/>
        </w:rPr>
        <w:drawing>
          <wp:inline distT="0" distB="0" distL="0" distR="0" wp14:anchorId="47F00A54">
            <wp:extent cx="6013450" cy="2889250"/>
            <wp:effectExtent l="0" t="0" r="635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168" cy="2896802"/>
                    </a:xfrm>
                    <a:prstGeom prst="rect">
                      <a:avLst/>
                    </a:prstGeom>
                    <a:noFill/>
                  </pic:spPr>
                </pic:pic>
              </a:graphicData>
            </a:graphic>
          </wp:inline>
        </w:drawing>
      </w:r>
    </w:p>
    <w:p w:rsidR="005371F0" w:rsidRDefault="005371F0" w:rsidP="00195EF7">
      <w:pPr>
        <w:jc w:val="both"/>
      </w:pPr>
    </w:p>
    <w:p w:rsidR="001E6A4E" w:rsidRDefault="001E6A4E" w:rsidP="00195EF7">
      <w:pPr>
        <w:jc w:val="both"/>
      </w:pPr>
    </w:p>
    <w:p w:rsidR="005371F0" w:rsidRDefault="005371F0" w:rsidP="00195EF7">
      <w:pPr>
        <w:jc w:val="both"/>
      </w:pPr>
      <w:r w:rsidRPr="005371F0">
        <w:lastRenderedPageBreak/>
        <w:t xml:space="preserve">Tüm önlenebilir bulaşıcı olmayan hastalıkların ve akıl sağlığı </w:t>
      </w:r>
      <w:r w:rsidR="001E6A4E">
        <w:t xml:space="preserve">hastalıklarının </w:t>
      </w:r>
      <w:r w:rsidRPr="005371F0">
        <w:t>küresel maliyetinin 2020–</w:t>
      </w:r>
      <w:r w:rsidR="001E6A4E">
        <w:t>20</w:t>
      </w:r>
      <w:r w:rsidRPr="005371F0">
        <w:t xml:space="preserve">30 dönemi için </w:t>
      </w:r>
      <w:r>
        <w:t xml:space="preserve">301.8 milyar $’a ve yılda yaklaşık </w:t>
      </w:r>
      <w:r w:rsidRPr="005371F0">
        <w:t xml:space="preserve">27.4 milyar </w:t>
      </w:r>
      <w:r>
        <w:t xml:space="preserve">$’a ulaşacağı </w:t>
      </w:r>
      <w:r w:rsidRPr="005371F0">
        <w:t>tahmin e</w:t>
      </w:r>
      <w:r>
        <w:t>dilmektedir.</w:t>
      </w:r>
    </w:p>
    <w:p w:rsidR="005371F0" w:rsidRDefault="005371F0" w:rsidP="00195EF7">
      <w:pPr>
        <w:jc w:val="both"/>
      </w:pPr>
      <w:proofErr w:type="spellStart"/>
      <w:r w:rsidRPr="005371F0">
        <w:t>BOH'ların</w:t>
      </w:r>
      <w:proofErr w:type="spellEnd"/>
      <w:r w:rsidRPr="005371F0">
        <w:t xml:space="preserve"> ve ruh sağlığı durumlarının tedavi ve yönetim maliyetleri, </w:t>
      </w:r>
      <w:proofErr w:type="spellStart"/>
      <w:r w:rsidRPr="005371F0">
        <w:t>demansın</w:t>
      </w:r>
      <w:proofErr w:type="spellEnd"/>
      <w:r w:rsidRPr="005371F0">
        <w:t xml:space="preserve"> önlenebilir yeni vakaların yalnızca %3'ünü oluşturmasına rağmen, hastalık toplam doğrudan sağlık hizmeti maliyetlerinin %22'sini oluşturacak şekilde değişiklik </w:t>
      </w:r>
      <w:r>
        <w:t xml:space="preserve">göstermiştir (Şekil.2). </w:t>
      </w:r>
      <w:r w:rsidRPr="005371F0">
        <w:t xml:space="preserve">Ayrıca, tip 2 diyabet önlenebilir vakaların %2'sini, ancak tüm maliyetlerin %9'unu ve kanser, tüm vakaların %1'ini, ancak tüm maliyetlerin %15'ini </w:t>
      </w:r>
      <w:r>
        <w:t>oluşturmaktadır.</w:t>
      </w:r>
    </w:p>
    <w:p w:rsidR="005371F0" w:rsidRPr="005371F0" w:rsidRDefault="005371F0" w:rsidP="00195EF7">
      <w:pPr>
        <w:jc w:val="both"/>
        <w:rPr>
          <w:b/>
        </w:rPr>
      </w:pPr>
      <w:r w:rsidRPr="005371F0">
        <w:rPr>
          <w:b/>
        </w:rPr>
        <w:t xml:space="preserve">Şekil 2. Yeni </w:t>
      </w:r>
      <w:r w:rsidR="001E6A4E">
        <w:rPr>
          <w:b/>
        </w:rPr>
        <w:t>Vakaların Toplam Küresel Oranı v</w:t>
      </w:r>
      <w:r w:rsidR="001E6A4E" w:rsidRPr="005371F0">
        <w:rPr>
          <w:b/>
        </w:rPr>
        <w:t xml:space="preserve">e Fiziksel Hareketsizliğe Atfedilen </w:t>
      </w:r>
      <w:r w:rsidR="001E6A4E">
        <w:rPr>
          <w:b/>
        </w:rPr>
        <w:t>Bulaşıcı Olmayan Hastalıkların v</w:t>
      </w:r>
      <w:bookmarkStart w:id="0" w:name="_GoBack"/>
      <w:bookmarkEnd w:id="0"/>
      <w:r w:rsidR="001E6A4E" w:rsidRPr="005371F0">
        <w:rPr>
          <w:b/>
        </w:rPr>
        <w:t xml:space="preserve">e Ruh Sağlığı </w:t>
      </w:r>
      <w:r w:rsidR="001E6A4E">
        <w:rPr>
          <w:b/>
        </w:rPr>
        <w:t>Hastalıklarının</w:t>
      </w:r>
      <w:r w:rsidR="001E6A4E" w:rsidRPr="005371F0">
        <w:rPr>
          <w:b/>
        </w:rPr>
        <w:t xml:space="preserve"> Doğrudan Sağlık Hizmeti Maliyetleri, 2020–30</w:t>
      </w:r>
    </w:p>
    <w:p w:rsidR="005371F0" w:rsidRDefault="005371F0" w:rsidP="00195EF7">
      <w:pPr>
        <w:jc w:val="both"/>
      </w:pPr>
      <w:r>
        <w:rPr>
          <w:noProof/>
          <w:lang w:eastAsia="tr-TR"/>
        </w:rPr>
        <w:drawing>
          <wp:inline distT="0" distB="0" distL="0" distR="0" wp14:anchorId="3E2EEB7F" wp14:editId="7DE90512">
            <wp:extent cx="6146800" cy="2686050"/>
            <wp:effectExtent l="0" t="0" r="635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36139" w:rsidRDefault="00736139" w:rsidP="00195EF7">
      <w:pPr>
        <w:jc w:val="both"/>
      </w:pPr>
    </w:p>
    <w:p w:rsidR="00736139" w:rsidRDefault="00736139" w:rsidP="00195EF7">
      <w:pPr>
        <w:jc w:val="both"/>
      </w:pPr>
      <w:r w:rsidRPr="00736139">
        <w:t xml:space="preserve">Yeni vakaların çoğu (%74) </w:t>
      </w:r>
      <w:r w:rsidR="008B31FE">
        <w:t xml:space="preserve">düşük ve orta gelir gurubundaki ülkelerde </w:t>
      </w:r>
      <w:r w:rsidRPr="00736139">
        <w:t>meydana gelse de yüksek gelirli ülkeler ekonomik maliyetlerin en büyük kısmını üstlenecektir (%63). Fiziksel hareketsizliğe atfedilebilen ekonomik yük en yüksek Avrupa bölgesinde (%32), bunu Amerika bölgesi (%25), Batı Pasifik bölgesi (%20), Doğu Akdeniz bölgesi (%13), Güneydoğu Asya böl</w:t>
      </w:r>
      <w:r w:rsidR="008B31FE">
        <w:t>gesi (%8) ve Afrika bölgesi (%2) izlemektedir.</w:t>
      </w:r>
    </w:p>
    <w:p w:rsidR="008B31FE" w:rsidRDefault="008B31FE" w:rsidP="00195EF7">
      <w:pPr>
        <w:jc w:val="both"/>
      </w:pPr>
    </w:p>
    <w:p w:rsidR="008B31FE" w:rsidRPr="008B31FE" w:rsidRDefault="008B31FE" w:rsidP="00195EF7">
      <w:pPr>
        <w:jc w:val="both"/>
        <w:rPr>
          <w:b/>
        </w:rPr>
      </w:pPr>
      <w:r w:rsidRPr="008B31FE">
        <w:rPr>
          <w:b/>
        </w:rPr>
        <w:t>Özet</w:t>
      </w:r>
    </w:p>
    <w:p w:rsidR="008B31FE" w:rsidRDefault="008B31FE" w:rsidP="00195EF7">
      <w:pPr>
        <w:jc w:val="both"/>
      </w:pPr>
      <w:r w:rsidRPr="008B31FE">
        <w:t xml:space="preserve">2030 yılına kadar fiziksel aktivite düzeylerini artırmaya yönelik etkili adımlar atılmazsa, ülkelerin önlenebilir yeni BOH vakaları açısından önemli maliyetlere katlanacağını </w:t>
      </w:r>
      <w:r>
        <w:t>açıktır.</w:t>
      </w:r>
      <w:r w:rsidRPr="008B31FE">
        <w:t xml:space="preserve"> Buna ek olarak, ülkeler, yürüme ve bisiklete binme yoluyla hava kirliliğini ve fosil yakıt tüketimini azaltmak ve spora katılımı artırmanın sosyal ve ekonomik kalkınma üzerindeki daha geniş etkileri gibi diğer önemli ulusal gündemlerde artan fiziksel aktivitenin ilgili faydalarından yararlanamayacaklardır</w:t>
      </w:r>
      <w:r>
        <w:t xml:space="preserve">. </w:t>
      </w:r>
      <w:r w:rsidRPr="008B31FE">
        <w:t>Fiziksel hareketsizliği 2010 temel çizgisinden görece %15 oranında azaltma küresel hedefine ulaşmak için yalnızca 8 yıl kaldığı göz önüne alındığında, bu çalışmanın bulguları</w:t>
      </w:r>
      <w:r>
        <w:t>,</w:t>
      </w:r>
      <w:r w:rsidRPr="008B31FE">
        <w:t xml:space="preserve"> savunucular ve karar vericiler tarafından kaynakların seferber edilmesini ve ulusal önlemlerin uygulanmasının hızlandırılmasını teşvik etmek için kullanılmalıdır.</w:t>
      </w:r>
    </w:p>
    <w:sectPr w:rsidR="008B3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E2"/>
    <w:rsid w:val="00195EF7"/>
    <w:rsid w:val="001A4140"/>
    <w:rsid w:val="001E6A4E"/>
    <w:rsid w:val="00455DE9"/>
    <w:rsid w:val="004A5324"/>
    <w:rsid w:val="005371F0"/>
    <w:rsid w:val="005A2117"/>
    <w:rsid w:val="00636DE2"/>
    <w:rsid w:val="00736139"/>
    <w:rsid w:val="008B31FE"/>
    <w:rsid w:val="00A90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5F82"/>
  <w15:chartTrackingRefBased/>
  <w15:docId w15:val="{E8FD80CC-E2AA-48B7-9036-9B62A7FB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0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2024">
      <w:bodyDiv w:val="1"/>
      <w:marLeft w:val="0"/>
      <w:marRight w:val="0"/>
      <w:marTop w:val="0"/>
      <w:marBottom w:val="0"/>
      <w:divBdr>
        <w:top w:val="none" w:sz="0" w:space="0" w:color="auto"/>
        <w:left w:val="none" w:sz="0" w:space="0" w:color="auto"/>
        <w:bottom w:val="none" w:sz="0" w:space="0" w:color="auto"/>
        <w:right w:val="none" w:sz="0" w:space="0" w:color="auto"/>
      </w:divBdr>
      <w:divsChild>
        <w:div w:id="405150942">
          <w:marLeft w:val="0"/>
          <w:marRight w:val="0"/>
          <w:marTop w:val="0"/>
          <w:marBottom w:val="0"/>
          <w:divBdr>
            <w:top w:val="none" w:sz="0" w:space="0" w:color="auto"/>
            <w:left w:val="none" w:sz="0" w:space="0" w:color="auto"/>
            <w:bottom w:val="none" w:sz="0" w:space="0" w:color="auto"/>
            <w:right w:val="none" w:sz="0" w:space="0" w:color="auto"/>
          </w:divBdr>
        </w:div>
      </w:divsChild>
    </w:div>
    <w:div w:id="837888975">
      <w:bodyDiv w:val="1"/>
      <w:marLeft w:val="0"/>
      <w:marRight w:val="0"/>
      <w:marTop w:val="0"/>
      <w:marBottom w:val="0"/>
      <w:divBdr>
        <w:top w:val="none" w:sz="0" w:space="0" w:color="auto"/>
        <w:left w:val="none" w:sz="0" w:space="0" w:color="auto"/>
        <w:bottom w:val="none" w:sz="0" w:space="0" w:color="auto"/>
        <w:right w:val="none" w:sz="0" w:space="0" w:color="auto"/>
      </w:divBdr>
      <w:divsChild>
        <w:div w:id="1769540333">
          <w:marLeft w:val="0"/>
          <w:marRight w:val="0"/>
          <w:marTop w:val="0"/>
          <w:marBottom w:val="0"/>
          <w:divBdr>
            <w:top w:val="none" w:sz="0" w:space="0" w:color="auto"/>
            <w:left w:val="none" w:sz="0" w:space="0" w:color="auto"/>
            <w:bottom w:val="none" w:sz="0" w:space="0" w:color="auto"/>
            <w:right w:val="none" w:sz="0" w:space="0" w:color="auto"/>
          </w:divBdr>
        </w:div>
      </w:divsChild>
    </w:div>
    <w:div w:id="1124926631">
      <w:bodyDiv w:val="1"/>
      <w:marLeft w:val="0"/>
      <w:marRight w:val="0"/>
      <w:marTop w:val="0"/>
      <w:marBottom w:val="0"/>
      <w:divBdr>
        <w:top w:val="none" w:sz="0" w:space="0" w:color="auto"/>
        <w:left w:val="none" w:sz="0" w:space="0" w:color="auto"/>
        <w:bottom w:val="none" w:sz="0" w:space="0" w:color="auto"/>
        <w:right w:val="none" w:sz="0" w:space="0" w:color="auto"/>
      </w:divBdr>
    </w:div>
    <w:div w:id="1241019668">
      <w:bodyDiv w:val="1"/>
      <w:marLeft w:val="0"/>
      <w:marRight w:val="0"/>
      <w:marTop w:val="0"/>
      <w:marBottom w:val="0"/>
      <w:divBdr>
        <w:top w:val="none" w:sz="0" w:space="0" w:color="auto"/>
        <w:left w:val="none" w:sz="0" w:space="0" w:color="auto"/>
        <w:bottom w:val="none" w:sz="0" w:space="0" w:color="auto"/>
        <w:right w:val="none" w:sz="0" w:space="0" w:color="auto"/>
      </w:divBdr>
      <w:divsChild>
        <w:div w:id="1543516081">
          <w:marLeft w:val="0"/>
          <w:marRight w:val="0"/>
          <w:marTop w:val="0"/>
          <w:marBottom w:val="0"/>
          <w:divBdr>
            <w:top w:val="none" w:sz="0" w:space="0" w:color="auto"/>
            <w:left w:val="none" w:sz="0" w:space="0" w:color="auto"/>
            <w:bottom w:val="none" w:sz="0" w:space="0" w:color="auto"/>
            <w:right w:val="none" w:sz="0" w:space="0" w:color="auto"/>
          </w:divBdr>
        </w:div>
        <w:div w:id="898395175">
          <w:marLeft w:val="0"/>
          <w:marRight w:val="0"/>
          <w:marTop w:val="0"/>
          <w:marBottom w:val="0"/>
          <w:divBdr>
            <w:top w:val="none" w:sz="0" w:space="0" w:color="auto"/>
            <w:left w:val="none" w:sz="0" w:space="0" w:color="auto"/>
            <w:bottom w:val="none" w:sz="0" w:space="0" w:color="auto"/>
            <w:right w:val="none" w:sz="0" w:space="0" w:color="auto"/>
          </w:divBdr>
        </w:div>
        <w:div w:id="1035156836">
          <w:marLeft w:val="0"/>
          <w:marRight w:val="0"/>
          <w:marTop w:val="0"/>
          <w:marBottom w:val="0"/>
          <w:divBdr>
            <w:top w:val="none" w:sz="0" w:space="0" w:color="auto"/>
            <w:left w:val="none" w:sz="0" w:space="0" w:color="auto"/>
            <w:bottom w:val="none" w:sz="0" w:space="0" w:color="auto"/>
            <w:right w:val="none" w:sz="0" w:space="0" w:color="auto"/>
          </w:divBdr>
        </w:div>
      </w:divsChild>
    </w:div>
    <w:div w:id="1745256176">
      <w:bodyDiv w:val="1"/>
      <w:marLeft w:val="0"/>
      <w:marRight w:val="0"/>
      <w:marTop w:val="0"/>
      <w:marBottom w:val="0"/>
      <w:divBdr>
        <w:top w:val="none" w:sz="0" w:space="0" w:color="auto"/>
        <w:left w:val="none" w:sz="0" w:space="0" w:color="auto"/>
        <w:bottom w:val="none" w:sz="0" w:space="0" w:color="auto"/>
        <w:right w:val="none" w:sz="0" w:space="0" w:color="auto"/>
      </w:divBdr>
      <w:divsChild>
        <w:div w:id="183626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hyperlink" Target="https://apps.who.int/iris/handle/10665/27272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Sayfa1!$B$22</c:f>
              <c:strCache>
                <c:ptCount val="1"/>
                <c:pt idx="0">
                  <c:v>Vaka Sayısı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Sayfa1!$A$23:$A$29</c:f>
              <c:strCache>
                <c:ptCount val="7"/>
                <c:pt idx="0">
                  <c:v>Hipertansiyon</c:v>
                </c:pt>
                <c:pt idx="1">
                  <c:v>Depresyon ve Anksiyete</c:v>
                </c:pt>
                <c:pt idx="2">
                  <c:v>Demans</c:v>
                </c:pt>
                <c:pt idx="3">
                  <c:v>Koroner Kalp Hastalıkları</c:v>
                </c:pt>
                <c:pt idx="4">
                  <c:v>Tip-2 Diyabet</c:v>
                </c:pt>
                <c:pt idx="5">
                  <c:v>Kanser</c:v>
                </c:pt>
                <c:pt idx="6">
                  <c:v>Felç</c:v>
                </c:pt>
              </c:strCache>
            </c:strRef>
          </c:cat>
          <c:val>
            <c:numRef>
              <c:f>Sayfa1!$B$23:$B$29</c:f>
              <c:numCache>
                <c:formatCode>0%</c:formatCode>
                <c:ptCount val="7"/>
                <c:pt idx="0">
                  <c:v>0.47</c:v>
                </c:pt>
                <c:pt idx="1">
                  <c:v>0.43</c:v>
                </c:pt>
                <c:pt idx="2">
                  <c:v>0.03</c:v>
                </c:pt>
                <c:pt idx="3">
                  <c:v>0.03</c:v>
                </c:pt>
                <c:pt idx="4">
                  <c:v>0.02</c:v>
                </c:pt>
                <c:pt idx="5">
                  <c:v>0.01</c:v>
                </c:pt>
                <c:pt idx="6">
                  <c:v>0.01</c:v>
                </c:pt>
              </c:numCache>
            </c:numRef>
          </c:val>
          <c:extLst>
            <c:ext xmlns:c16="http://schemas.microsoft.com/office/drawing/2014/chart" uri="{C3380CC4-5D6E-409C-BE32-E72D297353CC}">
              <c16:uniqueId val="{00000000-A9D7-4B31-9350-E2F6BFF3CA26}"/>
            </c:ext>
          </c:extLst>
        </c:ser>
        <c:ser>
          <c:idx val="1"/>
          <c:order val="1"/>
          <c:tx>
            <c:strRef>
              <c:f>Sayfa1!$C$22</c:f>
              <c:strCache>
                <c:ptCount val="1"/>
                <c:pt idx="0">
                  <c:v>Toplam Harcama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Sayfa1!$A$23:$A$29</c:f>
              <c:strCache>
                <c:ptCount val="7"/>
                <c:pt idx="0">
                  <c:v>Hipertansiyon</c:v>
                </c:pt>
                <c:pt idx="1">
                  <c:v>Depresyon ve Anksiyete</c:v>
                </c:pt>
                <c:pt idx="2">
                  <c:v>Demans</c:v>
                </c:pt>
                <c:pt idx="3">
                  <c:v>Koroner Kalp Hastalıkları</c:v>
                </c:pt>
                <c:pt idx="4">
                  <c:v>Tip-2 Diyabet</c:v>
                </c:pt>
                <c:pt idx="5">
                  <c:v>Kanser</c:v>
                </c:pt>
                <c:pt idx="6">
                  <c:v>Felç</c:v>
                </c:pt>
              </c:strCache>
            </c:strRef>
          </c:cat>
          <c:val>
            <c:numRef>
              <c:f>Sayfa1!$C$23:$C$29</c:f>
              <c:numCache>
                <c:formatCode>0%</c:formatCode>
                <c:ptCount val="7"/>
                <c:pt idx="0">
                  <c:v>0.23</c:v>
                </c:pt>
                <c:pt idx="1">
                  <c:v>0.28000000000000003</c:v>
                </c:pt>
                <c:pt idx="2">
                  <c:v>0.22</c:v>
                </c:pt>
                <c:pt idx="3">
                  <c:v>0.02</c:v>
                </c:pt>
                <c:pt idx="4">
                  <c:v>0.09</c:v>
                </c:pt>
                <c:pt idx="5">
                  <c:v>0.15</c:v>
                </c:pt>
                <c:pt idx="6">
                  <c:v>0.03</c:v>
                </c:pt>
              </c:numCache>
            </c:numRef>
          </c:val>
          <c:extLst>
            <c:ext xmlns:c16="http://schemas.microsoft.com/office/drawing/2014/chart" uri="{C3380CC4-5D6E-409C-BE32-E72D297353CC}">
              <c16:uniqueId val="{00000001-A9D7-4B31-9350-E2F6BFF3CA26}"/>
            </c:ext>
          </c:extLst>
        </c:ser>
        <c:dLbls>
          <c:dLblPos val="outEnd"/>
          <c:showLegendKey val="0"/>
          <c:showVal val="1"/>
          <c:showCatName val="0"/>
          <c:showSerName val="0"/>
          <c:showPercent val="0"/>
          <c:showBubbleSize val="0"/>
        </c:dLbls>
        <c:gapWidth val="219"/>
        <c:overlap val="-27"/>
        <c:axId val="1494353023"/>
        <c:axId val="1494342623"/>
      </c:barChart>
      <c:catAx>
        <c:axId val="1494353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94342623"/>
        <c:crosses val="autoZero"/>
        <c:auto val="1"/>
        <c:lblAlgn val="ctr"/>
        <c:lblOffset val="100"/>
        <c:noMultiLvlLbl val="0"/>
      </c:catAx>
      <c:valAx>
        <c:axId val="14943426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94353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1105</Words>
  <Characters>6300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DEMİRTAŞ</dc:creator>
  <cp:keywords/>
  <dc:description/>
  <cp:lastModifiedBy>Enes DEMİRTAŞ</cp:lastModifiedBy>
  <cp:revision>3</cp:revision>
  <dcterms:created xsi:type="dcterms:W3CDTF">2023-01-30T08:08:00Z</dcterms:created>
  <dcterms:modified xsi:type="dcterms:W3CDTF">2023-01-30T10:50:00Z</dcterms:modified>
</cp:coreProperties>
</file>